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A5AF3" w14:textId="141CA890" w:rsidR="00561A78" w:rsidRDefault="002F71A9" w:rsidP="002F71A9">
      <w:pPr>
        <w:jc w:val="center"/>
        <w:rPr>
          <w:b/>
          <w:bCs/>
          <w:lang w:val="es-ES"/>
        </w:rPr>
      </w:pPr>
      <w:r w:rsidRPr="002F71A9">
        <w:rPr>
          <w:b/>
          <w:bCs/>
          <w:lang w:val="es-ES"/>
        </w:rPr>
        <w:t>Reglamentos técnicos</w:t>
      </w:r>
      <w:r>
        <w:rPr>
          <w:b/>
          <w:bCs/>
          <w:lang w:val="es-ES"/>
        </w:rPr>
        <w:t xml:space="preserve"> y directrices de la Organización </w:t>
      </w:r>
      <w:r w:rsidR="009F699D">
        <w:rPr>
          <w:b/>
          <w:bCs/>
          <w:lang w:val="es-ES"/>
        </w:rPr>
        <w:t xml:space="preserve">Meteorológica </w:t>
      </w:r>
      <w:r w:rsidR="009F699D">
        <w:rPr>
          <w:b/>
          <w:bCs/>
          <w:lang w:val="es-ES"/>
        </w:rPr>
        <w:t xml:space="preserve">Mundial </w:t>
      </w:r>
      <w:r>
        <w:rPr>
          <w:b/>
          <w:bCs/>
          <w:lang w:val="es-ES"/>
        </w:rPr>
        <w:t>relacionado a Servicios Marinos</w:t>
      </w:r>
    </w:p>
    <w:p w14:paraId="06F3D303" w14:textId="77777777" w:rsidR="002F71A9" w:rsidRPr="002F71A9" w:rsidRDefault="002F71A9" w:rsidP="00561A78">
      <w:pPr>
        <w:rPr>
          <w:b/>
          <w:bCs/>
          <w:lang w:val="es-ES"/>
        </w:rPr>
      </w:pPr>
    </w:p>
    <w:p w14:paraId="6FC25235" w14:textId="499338A6" w:rsidR="00561A78" w:rsidRPr="004B1F7B" w:rsidRDefault="00561A78" w:rsidP="00561A78">
      <w:pPr>
        <w:rPr>
          <w:lang w:val="es-ES"/>
        </w:rPr>
      </w:pPr>
      <w:r w:rsidRPr="004B1F7B">
        <w:rPr>
          <w:lang w:val="es-ES"/>
        </w:rPr>
        <w:t xml:space="preserve">A </w:t>
      </w:r>
      <w:r w:rsidR="004B1F7B" w:rsidRPr="004B1F7B">
        <w:rPr>
          <w:lang w:val="es-ES"/>
        </w:rPr>
        <w:t>continuación,</w:t>
      </w:r>
      <w:r w:rsidRPr="004B1F7B">
        <w:rPr>
          <w:lang w:val="es-ES"/>
        </w:rPr>
        <w:t xml:space="preserve"> encontrará </w:t>
      </w:r>
      <w:r w:rsidR="004B1F7B">
        <w:rPr>
          <w:lang w:val="es-ES"/>
        </w:rPr>
        <w:t>los</w:t>
      </w:r>
      <w:r w:rsidRPr="004B1F7B">
        <w:rPr>
          <w:lang w:val="es-ES"/>
        </w:rPr>
        <w:t xml:space="preserve"> </w:t>
      </w:r>
      <w:hyperlink r:id="rId4" w:history="1">
        <w:r w:rsidRPr="004B1F7B">
          <w:rPr>
            <w:rStyle w:val="Hyperlink"/>
            <w:lang w:val="es-ES"/>
          </w:rPr>
          <w:t>Reglamento</w:t>
        </w:r>
        <w:r w:rsidR="004B1F7B">
          <w:rPr>
            <w:rStyle w:val="Hyperlink"/>
            <w:lang w:val="es-ES"/>
          </w:rPr>
          <w:t>s</w:t>
        </w:r>
        <w:r w:rsidRPr="004B1F7B">
          <w:rPr>
            <w:rStyle w:val="Hyperlink"/>
            <w:lang w:val="es-ES"/>
          </w:rPr>
          <w:t xml:space="preserve"> Técnico</w:t>
        </w:r>
        <w:r w:rsidR="004B1F7B">
          <w:rPr>
            <w:rStyle w:val="Hyperlink"/>
            <w:lang w:val="es-ES"/>
          </w:rPr>
          <w:t>s</w:t>
        </w:r>
        <w:r w:rsidRPr="004B1F7B">
          <w:rPr>
            <w:rStyle w:val="Hyperlink"/>
            <w:lang w:val="es-ES"/>
          </w:rPr>
          <w:t xml:space="preserve"> y las </w:t>
        </w:r>
        <w:r w:rsidRPr="004B1F7B">
          <w:rPr>
            <w:rStyle w:val="Hyperlink"/>
            <w:lang w:val="es-ES"/>
          </w:rPr>
          <w:t>Directrices</w:t>
        </w:r>
      </w:hyperlink>
      <w:r w:rsidRPr="004B1F7B">
        <w:rPr>
          <w:color w:val="2F5496"/>
          <w:lang w:val="es-ES"/>
        </w:rPr>
        <w:t xml:space="preserve"> </w:t>
      </w:r>
      <w:r w:rsidRPr="004B1F7B">
        <w:rPr>
          <w:lang w:val="es-ES"/>
        </w:rPr>
        <w:t>que se podrán compartir con los participantes</w:t>
      </w:r>
      <w:r w:rsidR="004B1F7B">
        <w:rPr>
          <w:lang w:val="es-ES"/>
        </w:rPr>
        <w:t>:</w:t>
      </w:r>
    </w:p>
    <w:p w14:paraId="7D8D6C97" w14:textId="77777777" w:rsidR="00561A78" w:rsidRPr="00561A78" w:rsidRDefault="00561A78" w:rsidP="00561A78">
      <w:pPr>
        <w:rPr>
          <w:b/>
          <w:bCs/>
          <w:color w:val="2F5496"/>
          <w:lang w:val="es-ES"/>
        </w:rPr>
      </w:pPr>
    </w:p>
    <w:tbl>
      <w:tblPr>
        <w:tblW w:w="9493" w:type="dxa"/>
        <w:tblCellMar>
          <w:left w:w="0" w:type="dxa"/>
          <w:right w:w="0" w:type="dxa"/>
        </w:tblCellMar>
        <w:tblLook w:val="04A0" w:firstRow="1" w:lastRow="0" w:firstColumn="1" w:lastColumn="0" w:noHBand="0" w:noVBand="1"/>
      </w:tblPr>
      <w:tblGrid>
        <w:gridCol w:w="3426"/>
        <w:gridCol w:w="6067"/>
      </w:tblGrid>
      <w:tr w:rsidR="00A22CF7" w14:paraId="4EF68B5F" w14:textId="77777777" w:rsidTr="004B1F7B">
        <w:trPr>
          <w:trHeight w:val="2483"/>
        </w:trPr>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8BE6E0" w14:textId="4196C5F1" w:rsidR="00561A78" w:rsidRDefault="004B1F7B">
            <w:pPr>
              <w:rPr>
                <w:lang w:eastAsia="en-US"/>
              </w:rPr>
            </w:pPr>
            <w:r>
              <w:rPr>
                <w:noProof/>
              </w:rPr>
              <w:drawing>
                <wp:inline distT="0" distB="0" distL="0" distR="0" wp14:anchorId="50348C36" wp14:editId="666E9476">
                  <wp:extent cx="1856225" cy="2562225"/>
                  <wp:effectExtent l="0" t="0" r="0" b="0"/>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5"/>
                          <a:srcRect l="31852" t="17226" r="33800" b="946"/>
                          <a:stretch/>
                        </pic:blipFill>
                        <pic:spPr bwMode="auto">
                          <a:xfrm>
                            <a:off x="0" y="0"/>
                            <a:ext cx="1875481" cy="2588805"/>
                          </a:xfrm>
                          <a:prstGeom prst="rect">
                            <a:avLst/>
                          </a:prstGeom>
                          <a:ln>
                            <a:noFill/>
                          </a:ln>
                          <a:extLst>
                            <a:ext uri="{53640926-AAD7-44D8-BBD7-CCE9431645EC}">
                              <a14:shadowObscured xmlns:a14="http://schemas.microsoft.com/office/drawing/2010/main"/>
                            </a:ext>
                          </a:extLst>
                        </pic:spPr>
                      </pic:pic>
                    </a:graphicData>
                  </a:graphic>
                </wp:inline>
              </w:drawing>
            </w:r>
          </w:p>
          <w:p w14:paraId="5324E954" w14:textId="77777777" w:rsidR="00561A78" w:rsidRDefault="00561A78">
            <w:pPr>
              <w:rPr>
                <w:lang w:eastAsia="en-US"/>
              </w:rPr>
            </w:pPr>
          </w:p>
        </w:tc>
        <w:tc>
          <w:tcPr>
            <w:tcW w:w="75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182012" w14:textId="5C56FA94" w:rsidR="00561A78" w:rsidRDefault="004B1F7B">
            <w:pPr>
              <w:rPr>
                <w:lang w:eastAsia="en-US"/>
              </w:rPr>
            </w:pPr>
            <w:hyperlink r:id="rId6" w:history="1">
              <w:r w:rsidR="00561A78" w:rsidRPr="004B1F7B">
                <w:rPr>
                  <w:rStyle w:val="Hyperlink"/>
                  <w:b/>
                  <w:bCs/>
                  <w:lang w:val="es-ES" w:eastAsia="en-US"/>
                </w:rPr>
                <w:t xml:space="preserve">Manual </w:t>
              </w:r>
              <w:r w:rsidRPr="004B1F7B">
                <w:rPr>
                  <w:rStyle w:val="Hyperlink"/>
                  <w:b/>
                  <w:bCs/>
                  <w:lang w:val="es-ES" w:eastAsia="en-US"/>
                </w:rPr>
                <w:t xml:space="preserve">de Servicios Meteorológicos Marinos </w:t>
              </w:r>
              <w:r w:rsidR="00561A78" w:rsidRPr="004B1F7B">
                <w:rPr>
                  <w:rStyle w:val="Hyperlink"/>
                  <w:b/>
                  <w:bCs/>
                  <w:lang w:val="es-ES" w:eastAsia="en-US"/>
                </w:rPr>
                <w:t>(WMO-No. 558)</w:t>
              </w:r>
            </w:hyperlink>
          </w:p>
          <w:p w14:paraId="1A93233D" w14:textId="77777777" w:rsidR="00561A78" w:rsidRPr="00CA6B04" w:rsidRDefault="00561A78">
            <w:pPr>
              <w:rPr>
                <w:lang w:val="es-ES" w:eastAsia="en-US"/>
              </w:rPr>
            </w:pPr>
          </w:p>
          <w:p w14:paraId="19BBA6B1" w14:textId="543BDFDC" w:rsidR="00561A78" w:rsidRPr="00561A78" w:rsidRDefault="00561A78">
            <w:pPr>
              <w:rPr>
                <w:lang w:val="es-ES" w:eastAsia="en-US"/>
              </w:rPr>
            </w:pPr>
            <w:r w:rsidRPr="00561A78">
              <w:rPr>
                <w:lang w:val="es-ES" w:eastAsia="en-US"/>
              </w:rPr>
              <w:t>Diseñado para facilitar la cooperación con respecto a la coordinación internacional de los servicios meteorológicos marinos (MMS); para especificar las obligaciones de los miembros en la aplicación de los MMS; y para garantizar la uniformidad en las prácticas y procedimientos empleados para lograrlos.</w:t>
            </w:r>
          </w:p>
        </w:tc>
      </w:tr>
      <w:tr w:rsidR="00A22CF7" w14:paraId="784026DF" w14:textId="77777777" w:rsidTr="00561A78">
        <w:trPr>
          <w:trHeight w:val="2355"/>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4DA8C1" w14:textId="60F1B807" w:rsidR="00561A78" w:rsidRDefault="004B1F7B">
            <w:pPr>
              <w:rPr>
                <w:lang w:eastAsia="en-US"/>
              </w:rPr>
            </w:pPr>
            <w:r>
              <w:rPr>
                <w:noProof/>
              </w:rPr>
              <w:drawing>
                <wp:inline distT="0" distB="0" distL="0" distR="0" wp14:anchorId="342DD35D" wp14:editId="2D791A76">
                  <wp:extent cx="1866900" cy="2639819"/>
                  <wp:effectExtent l="0" t="0" r="0" b="8255"/>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rotWithShape="1">
                          <a:blip r:embed="rId7"/>
                          <a:srcRect l="7474" t="30598" r="82537" b="45026"/>
                          <a:stretch/>
                        </pic:blipFill>
                        <pic:spPr bwMode="auto">
                          <a:xfrm>
                            <a:off x="0" y="0"/>
                            <a:ext cx="1892368" cy="2675831"/>
                          </a:xfrm>
                          <a:prstGeom prst="rect">
                            <a:avLst/>
                          </a:prstGeom>
                          <a:ln>
                            <a:noFill/>
                          </a:ln>
                          <a:extLst>
                            <a:ext uri="{53640926-AAD7-44D8-BBD7-CCE9431645EC}">
                              <a14:shadowObscured xmlns:a14="http://schemas.microsoft.com/office/drawing/2010/main"/>
                            </a:ext>
                          </a:extLst>
                        </pic:spPr>
                      </pic:pic>
                    </a:graphicData>
                  </a:graphic>
                </wp:inline>
              </w:drawing>
            </w:r>
          </w:p>
          <w:p w14:paraId="354FEDDF" w14:textId="77777777" w:rsidR="00561A78" w:rsidRDefault="00561A78">
            <w:pPr>
              <w:rPr>
                <w:lang w:eastAsia="en-US"/>
              </w:rPr>
            </w:pP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56656438" w14:textId="66C391B6" w:rsidR="00561A78" w:rsidRPr="004B1F7B" w:rsidRDefault="004B1F7B">
            <w:pPr>
              <w:rPr>
                <w:lang w:val="es-PE" w:eastAsia="en-US"/>
              </w:rPr>
            </w:pPr>
            <w:hyperlink r:id="rId8" w:history="1">
              <w:r w:rsidRPr="004B1F7B">
                <w:rPr>
                  <w:rStyle w:val="Hyperlink"/>
                  <w:b/>
                  <w:bCs/>
                  <w:lang w:val="es-PE" w:eastAsia="en-US"/>
                </w:rPr>
                <w:t>G</w:t>
              </w:r>
              <w:r w:rsidRPr="004B1F7B">
                <w:rPr>
                  <w:rStyle w:val="Hyperlink"/>
                  <w:b/>
                  <w:bCs/>
                  <w:lang w:val="es-PE"/>
                </w:rPr>
                <w:t xml:space="preserve">uía para el análisis y pronóstico de olas </w:t>
              </w:r>
              <w:r w:rsidR="00561A78" w:rsidRPr="004B1F7B">
                <w:rPr>
                  <w:rStyle w:val="Hyperlink"/>
                  <w:b/>
                  <w:bCs/>
                  <w:lang w:val="es-PE" w:eastAsia="en-US"/>
                </w:rPr>
                <w:t>(WMO-No.471)</w:t>
              </w:r>
            </w:hyperlink>
          </w:p>
          <w:p w14:paraId="2A0C2628" w14:textId="77777777" w:rsidR="00561A78" w:rsidRPr="004B1F7B" w:rsidRDefault="00561A78" w:rsidP="00561A78">
            <w:pPr>
              <w:rPr>
                <w:lang w:val="es-PE" w:eastAsia="en-US"/>
              </w:rPr>
            </w:pPr>
            <w:r w:rsidRPr="004B1F7B">
              <w:rPr>
                <w:lang w:val="es-PE" w:eastAsia="en-US"/>
              </w:rPr>
              <w:t>El propósito de esta Guía es complementar el Manual mediante:</w:t>
            </w:r>
          </w:p>
          <w:p w14:paraId="2F208D7F" w14:textId="77777777" w:rsidR="00561A78" w:rsidRPr="004B1F7B" w:rsidRDefault="00561A78" w:rsidP="00561A78">
            <w:pPr>
              <w:rPr>
                <w:lang w:val="es-PE" w:eastAsia="en-US"/>
              </w:rPr>
            </w:pPr>
            <w:r w:rsidRPr="004B1F7B">
              <w:rPr>
                <w:lang w:val="es-PE" w:eastAsia="en-US"/>
              </w:rPr>
              <w:t>(a) Describir los requisitos de los distintos tipos de servicios;</w:t>
            </w:r>
          </w:p>
          <w:p w14:paraId="0EE10720" w14:textId="77777777" w:rsidR="00561A78" w:rsidRPr="004B1F7B" w:rsidRDefault="00561A78" w:rsidP="00561A78">
            <w:pPr>
              <w:rPr>
                <w:lang w:val="es-PE" w:eastAsia="en-US"/>
              </w:rPr>
            </w:pPr>
            <w:r w:rsidRPr="004B1F7B">
              <w:rPr>
                <w:lang w:val="es-PE" w:eastAsia="en-US"/>
              </w:rPr>
              <w:t>(b) Explicar el fundamento de los métodos acordados para la prestación de servicios;</w:t>
            </w:r>
          </w:p>
          <w:p w14:paraId="3D80260A" w14:textId="4A83F146" w:rsidR="00561A78" w:rsidRPr="00A22CF7" w:rsidRDefault="00561A78" w:rsidP="00561A78">
            <w:pPr>
              <w:rPr>
                <w:lang w:val="es-PE" w:eastAsia="en-US"/>
              </w:rPr>
            </w:pPr>
            <w:r w:rsidRPr="004B1F7B">
              <w:rPr>
                <w:lang w:val="es-PE" w:eastAsia="en-US"/>
              </w:rPr>
              <w:t>(c) Ofrecer orientación sobre cómo establecer y mantener los servicios meteorológicos marinos</w:t>
            </w:r>
          </w:p>
        </w:tc>
      </w:tr>
      <w:tr w:rsidR="00A22CF7" w14:paraId="5FC9802A" w14:textId="77777777" w:rsidTr="00561A78">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201FAA" w14:textId="69EF2775" w:rsidR="00561A78" w:rsidRDefault="00A22CF7">
            <w:pPr>
              <w:rPr>
                <w:lang w:eastAsia="en-US"/>
              </w:rPr>
            </w:pPr>
            <w:r>
              <w:rPr>
                <w:noProof/>
              </w:rPr>
              <w:drawing>
                <wp:inline distT="0" distB="0" distL="0" distR="0" wp14:anchorId="16C99178" wp14:editId="5B5D3CCE">
                  <wp:extent cx="1851660" cy="2571750"/>
                  <wp:effectExtent l="0" t="0" r="0" b="0"/>
                  <wp:docPr id="8" name="Picture 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10;&#10;Description automatically generated"/>
                          <pic:cNvPicPr/>
                        </pic:nvPicPr>
                        <pic:blipFill rotWithShape="1">
                          <a:blip r:embed="rId9"/>
                          <a:srcRect l="31908" t="16348" r="33193"/>
                          <a:stretch/>
                        </pic:blipFill>
                        <pic:spPr bwMode="auto">
                          <a:xfrm>
                            <a:off x="0" y="0"/>
                            <a:ext cx="1859353" cy="2582435"/>
                          </a:xfrm>
                          <a:prstGeom prst="rect">
                            <a:avLst/>
                          </a:prstGeom>
                          <a:ln>
                            <a:noFill/>
                          </a:ln>
                          <a:extLst>
                            <a:ext uri="{53640926-AAD7-44D8-BBD7-CCE9431645EC}">
                              <a14:shadowObscured xmlns:a14="http://schemas.microsoft.com/office/drawing/2010/main"/>
                            </a:ext>
                          </a:extLst>
                        </pic:spPr>
                      </pic:pic>
                    </a:graphicData>
                  </a:graphic>
                </wp:inline>
              </w:drawing>
            </w:r>
          </w:p>
        </w:tc>
        <w:tc>
          <w:tcPr>
            <w:tcW w:w="7513" w:type="dxa"/>
            <w:tcBorders>
              <w:top w:val="nil"/>
              <w:left w:val="nil"/>
              <w:bottom w:val="single" w:sz="8" w:space="0" w:color="auto"/>
              <w:right w:val="single" w:sz="8" w:space="0" w:color="auto"/>
            </w:tcBorders>
            <w:tcMar>
              <w:top w:w="0" w:type="dxa"/>
              <w:left w:w="108" w:type="dxa"/>
              <w:bottom w:w="0" w:type="dxa"/>
              <w:right w:w="108" w:type="dxa"/>
            </w:tcMar>
          </w:tcPr>
          <w:p w14:paraId="7B6B90E6" w14:textId="42C57658" w:rsidR="00561A78" w:rsidRPr="00CA6B04" w:rsidRDefault="004B1F7B">
            <w:pPr>
              <w:rPr>
                <w:lang w:val="es-ES" w:eastAsia="en-US"/>
              </w:rPr>
            </w:pPr>
            <w:hyperlink r:id="rId10" w:history="1">
              <w:r w:rsidRPr="004B1F7B">
                <w:rPr>
                  <w:rStyle w:val="Hyperlink"/>
                  <w:b/>
                  <w:bCs/>
                  <w:lang w:val="es-ES" w:eastAsia="en-US"/>
                </w:rPr>
                <w:t xml:space="preserve">Guía para el Análisis y Pronostico de las Olas </w:t>
              </w:r>
              <w:r w:rsidR="00561A78" w:rsidRPr="004B1F7B">
                <w:rPr>
                  <w:rStyle w:val="Hyperlink"/>
                  <w:b/>
                  <w:bCs/>
                  <w:lang w:val="es-ES" w:eastAsia="en-US"/>
                </w:rPr>
                <w:t>(WMO-No. 702)</w:t>
              </w:r>
            </w:hyperlink>
          </w:p>
          <w:p w14:paraId="2D468CA3" w14:textId="77777777" w:rsidR="00561A78" w:rsidRPr="00561A78" w:rsidRDefault="00561A78" w:rsidP="00561A78">
            <w:pPr>
              <w:rPr>
                <w:lang w:val="es-ES" w:eastAsia="en-US"/>
              </w:rPr>
            </w:pPr>
            <w:r w:rsidRPr="00561A78">
              <w:rPr>
                <w:lang w:val="es-ES" w:eastAsia="en-US"/>
              </w:rPr>
              <w:t>Resultado de la revisión, ampliación y actualización de la Guía de análisis y previsión de las olas de 1998. Está diseñada para mejorar el suministro de información actualizada y material de orientación sobre todos los aspectos de las actividades relacionadas con el océano de los Servicios Meteorológicos Nacionales.</w:t>
            </w:r>
          </w:p>
          <w:p w14:paraId="12F283A5" w14:textId="0B7CE6FB" w:rsidR="00561A78" w:rsidRPr="00561A78" w:rsidRDefault="00561A78" w:rsidP="00561A78">
            <w:pPr>
              <w:rPr>
                <w:lang w:val="es-ES" w:eastAsia="en-US"/>
              </w:rPr>
            </w:pPr>
            <w:r w:rsidRPr="00561A78">
              <w:rPr>
                <w:lang w:val="es-ES" w:eastAsia="en-US"/>
              </w:rPr>
              <w:t>Esta edición de 2018 (3ª edición) representa las últimas actualizaciones, teniendo en cuenta las espectaculares mejoras en la modelización de las olas y la capacidad de observación en las últimas dos décadas. También contiene una parte dinámica basada en la web, que describe los modelos operativos de olas.</w:t>
            </w:r>
          </w:p>
          <w:p w14:paraId="7CB10982" w14:textId="333854BD" w:rsidR="00561A78" w:rsidRDefault="00561A78" w:rsidP="00561A78">
            <w:pPr>
              <w:rPr>
                <w:lang w:val="es-ES" w:eastAsia="en-US"/>
              </w:rPr>
            </w:pPr>
          </w:p>
          <w:p w14:paraId="1317B705" w14:textId="0FD504EC" w:rsidR="00A22CF7" w:rsidRDefault="00A22CF7" w:rsidP="00561A78">
            <w:pPr>
              <w:rPr>
                <w:lang w:val="es-ES" w:eastAsia="en-US"/>
              </w:rPr>
            </w:pPr>
          </w:p>
          <w:p w14:paraId="7A2A9DDC" w14:textId="053B7B02" w:rsidR="00A22CF7" w:rsidRPr="00561A78" w:rsidRDefault="00A22CF7" w:rsidP="00561A78">
            <w:pPr>
              <w:rPr>
                <w:lang w:val="es-ES" w:eastAsia="en-US"/>
              </w:rPr>
            </w:pPr>
            <w:hyperlink r:id="rId11" w:history="1">
              <w:r w:rsidRPr="00A22CF7">
                <w:rPr>
                  <w:rStyle w:val="Hyperlink"/>
                  <w:lang w:val="es-ES" w:eastAsia="en-US"/>
                </w:rPr>
                <w:t>Parte dinámica de la Guía para el análisis y la previsión del oleaje</w:t>
              </w:r>
              <w:r w:rsidRPr="00A22CF7">
                <w:rPr>
                  <w:rStyle w:val="Hyperlink"/>
                  <w:lang w:val="es-ES" w:eastAsia="en-US"/>
                </w:rPr>
                <w:t xml:space="preserve"> (en inglés)</w:t>
              </w:r>
            </w:hyperlink>
            <w:r>
              <w:rPr>
                <w:lang w:val="es-ES" w:eastAsia="en-US"/>
              </w:rPr>
              <w:t xml:space="preserve"> </w:t>
            </w:r>
          </w:p>
          <w:p w14:paraId="092EB459" w14:textId="77777777" w:rsidR="00561A78" w:rsidRPr="00A22CF7" w:rsidRDefault="00561A78" w:rsidP="00A22CF7">
            <w:pPr>
              <w:rPr>
                <w:lang w:val="en-US" w:eastAsia="en-US"/>
              </w:rPr>
            </w:pPr>
          </w:p>
        </w:tc>
      </w:tr>
      <w:tr w:rsidR="00A22CF7" w14:paraId="7B1DD74D" w14:textId="77777777" w:rsidTr="00561A78">
        <w:trPr>
          <w:trHeight w:val="2323"/>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46B030" w14:textId="1ACA6B9E" w:rsidR="00561A78" w:rsidRDefault="00561A78">
            <w:pPr>
              <w:rPr>
                <w:lang w:eastAsia="en-US"/>
              </w:rPr>
            </w:pPr>
          </w:p>
          <w:p w14:paraId="42E1EE9D" w14:textId="4EF02765" w:rsidR="00561A78" w:rsidRDefault="00A22CF7">
            <w:pPr>
              <w:rPr>
                <w:lang w:eastAsia="en-US"/>
              </w:rPr>
            </w:pPr>
            <w:r>
              <w:rPr>
                <w:noProof/>
              </w:rPr>
              <w:drawing>
                <wp:inline distT="0" distB="0" distL="0" distR="0" wp14:anchorId="6E242E32" wp14:editId="67B8333B">
                  <wp:extent cx="2038350" cy="2696763"/>
                  <wp:effectExtent l="0" t="0" r="0" b="8890"/>
                  <wp:docPr id="9" name="Picture 9" descr="Graphical user interface, application,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 treemap chart&#10;&#10;Description automatically generated"/>
                          <pic:cNvPicPr/>
                        </pic:nvPicPr>
                        <pic:blipFill rotWithShape="1">
                          <a:blip r:embed="rId12"/>
                          <a:srcRect l="29415" t="15499" r="30867"/>
                          <a:stretch/>
                        </pic:blipFill>
                        <pic:spPr bwMode="auto">
                          <a:xfrm>
                            <a:off x="0" y="0"/>
                            <a:ext cx="2040638" cy="2699791"/>
                          </a:xfrm>
                          <a:prstGeom prst="rect">
                            <a:avLst/>
                          </a:prstGeom>
                          <a:ln>
                            <a:noFill/>
                          </a:ln>
                          <a:extLst>
                            <a:ext uri="{53640926-AAD7-44D8-BBD7-CCE9431645EC}">
                              <a14:shadowObscured xmlns:a14="http://schemas.microsoft.com/office/drawing/2010/main"/>
                            </a:ext>
                          </a:extLst>
                        </pic:spPr>
                      </pic:pic>
                    </a:graphicData>
                  </a:graphic>
                </wp:inline>
              </w:drawing>
            </w:r>
          </w:p>
        </w:tc>
        <w:tc>
          <w:tcPr>
            <w:tcW w:w="7513" w:type="dxa"/>
            <w:tcBorders>
              <w:top w:val="nil"/>
              <w:left w:val="nil"/>
              <w:bottom w:val="single" w:sz="8" w:space="0" w:color="auto"/>
              <w:right w:val="single" w:sz="8" w:space="0" w:color="auto"/>
            </w:tcBorders>
            <w:tcMar>
              <w:top w:w="0" w:type="dxa"/>
              <w:left w:w="108" w:type="dxa"/>
              <w:bottom w:w="0" w:type="dxa"/>
              <w:right w:w="108" w:type="dxa"/>
            </w:tcMar>
          </w:tcPr>
          <w:p w14:paraId="708BDA51" w14:textId="1B4744A0" w:rsidR="00561A78" w:rsidRPr="00B237E8" w:rsidRDefault="009F699D">
            <w:pPr>
              <w:rPr>
                <w:b/>
                <w:bCs/>
                <w:color w:val="0000FF"/>
                <w:u w:val="single"/>
                <w:shd w:val="clear" w:color="auto" w:fill="F3F2F1"/>
                <w:lang w:val="en-US"/>
              </w:rPr>
            </w:pPr>
            <w:hyperlink r:id="rId13" w:history="1">
              <w:r w:rsidR="00561A78" w:rsidRPr="009F699D">
                <w:rPr>
                  <w:rStyle w:val="Hyperlink"/>
                  <w:b/>
                  <w:bCs/>
                  <w:lang w:val="en-US" w:eastAsia="en-US"/>
                </w:rPr>
                <w:t>Information for Shipping 2</w:t>
              </w:r>
              <w:r w:rsidR="00A22CF7" w:rsidRPr="009F699D">
                <w:rPr>
                  <w:rStyle w:val="Hyperlink"/>
                  <w:b/>
                  <w:bCs/>
                  <w:lang w:val="en-US" w:eastAsia="en-US"/>
                </w:rPr>
                <w:t>0</w:t>
              </w:r>
              <w:r w:rsidR="00561A78" w:rsidRPr="009F699D">
                <w:rPr>
                  <w:rStyle w:val="Hyperlink"/>
                  <w:b/>
                  <w:bCs/>
                  <w:lang w:val="en-US" w:eastAsia="en-US"/>
                </w:rPr>
                <w:t>18 Edition (updated 10 Dec 2021)</w:t>
              </w:r>
              <w:r w:rsidRPr="009F699D">
                <w:rPr>
                  <w:rStyle w:val="Hyperlink"/>
                  <w:b/>
                  <w:bCs/>
                  <w:lang w:val="en-US" w:eastAsia="en-US"/>
                </w:rPr>
                <w:t>,</w:t>
              </w:r>
              <w:r w:rsidR="00A22CF7" w:rsidRPr="009F699D">
                <w:rPr>
                  <w:rStyle w:val="Hyperlink"/>
                  <w:b/>
                  <w:bCs/>
                  <w:shd w:val="clear" w:color="auto" w:fill="F3F2F1"/>
                  <w:lang w:val="en-US" w:eastAsia="en-US"/>
                </w:rPr>
                <w:t xml:space="preserve"> (v</w:t>
              </w:r>
              <w:r w:rsidR="00A22CF7" w:rsidRPr="009F699D">
                <w:rPr>
                  <w:rStyle w:val="Hyperlink"/>
                  <w:b/>
                  <w:bCs/>
                  <w:shd w:val="clear" w:color="auto" w:fill="F3F2F1"/>
                  <w:lang w:val="en-US"/>
                </w:rPr>
                <w:t>ersion en ingles)</w:t>
              </w:r>
            </w:hyperlink>
          </w:p>
          <w:p w14:paraId="40435B19" w14:textId="77777777" w:rsidR="00561A78" w:rsidRDefault="00561A78">
            <w:pPr>
              <w:rPr>
                <w:b/>
                <w:bCs/>
                <w:lang w:val="en-US" w:eastAsia="en-US"/>
              </w:rPr>
            </w:pPr>
          </w:p>
          <w:p w14:paraId="730AA9B7" w14:textId="7DCD67A6" w:rsidR="00561A78" w:rsidRPr="00561A78" w:rsidRDefault="00561A78">
            <w:pPr>
              <w:jc w:val="both"/>
              <w:rPr>
                <w:b/>
                <w:bCs/>
                <w:lang w:val="es-ES" w:eastAsia="en-US"/>
              </w:rPr>
            </w:pPr>
            <w:r w:rsidRPr="00561A78">
              <w:rPr>
                <w:lang w:val="es-ES" w:eastAsia="en-US"/>
              </w:rPr>
              <w:t>Este Volumen incluye información meteorológica marina y otra información geofísica relacionada, necesaria para la realización segura y económica de las operaciones de navegación, así como para la pesca y otras actividades marinas.  Para asegurar la cobertura completa del área y la adecuación de los servicios, los Océanos y Mares han sido divididos en METAREAS.    Este capítulo proporciona cartas que indican los límites de las METAREAS junto con las coordenadas de la zona, seguidas del calendario de transmisión para el servicio completo del SMSSM.</w:t>
            </w:r>
          </w:p>
        </w:tc>
      </w:tr>
    </w:tbl>
    <w:p w14:paraId="42D98EB2" w14:textId="77777777" w:rsidR="00561A78" w:rsidRPr="00561A78" w:rsidRDefault="00561A78" w:rsidP="00561A78">
      <w:pPr>
        <w:rPr>
          <w:lang w:val="es-ES"/>
        </w:rPr>
      </w:pPr>
    </w:p>
    <w:p w14:paraId="7E680A89" w14:textId="5E2C7751" w:rsidR="00561A78" w:rsidRDefault="00561A78" w:rsidP="00561A78">
      <w:pPr>
        <w:rPr>
          <w:rFonts w:asciiTheme="minorHAnsi" w:hAnsiTheme="minorHAnsi" w:cstheme="minorBidi"/>
          <w:lang w:val="en-GB"/>
        </w:rPr>
      </w:pPr>
    </w:p>
    <w:tbl>
      <w:tblPr>
        <w:tblW w:w="9493" w:type="dxa"/>
        <w:tblCellMar>
          <w:left w:w="0" w:type="dxa"/>
          <w:right w:w="0" w:type="dxa"/>
        </w:tblCellMar>
        <w:tblLook w:val="04A0" w:firstRow="1" w:lastRow="0" w:firstColumn="1" w:lastColumn="0" w:noHBand="0" w:noVBand="1"/>
      </w:tblPr>
      <w:tblGrid>
        <w:gridCol w:w="3411"/>
        <w:gridCol w:w="6082"/>
      </w:tblGrid>
      <w:tr w:rsidR="00561A78" w14:paraId="091BBBC6" w14:textId="77777777" w:rsidTr="00F96D40">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3E619D" w14:textId="164DDF65" w:rsidR="00561A78" w:rsidRDefault="00561A78" w:rsidP="00F96D40">
            <w:pPr>
              <w:rPr>
                <w:lang w:eastAsia="en-US"/>
              </w:rPr>
            </w:pPr>
          </w:p>
          <w:p w14:paraId="1F33952F" w14:textId="1B588C85" w:rsidR="00561A78" w:rsidRDefault="002644FE" w:rsidP="00F96D40">
            <w:pPr>
              <w:rPr>
                <w:lang w:eastAsia="en-US"/>
              </w:rPr>
            </w:pPr>
            <w:r>
              <w:rPr>
                <w:noProof/>
              </w:rPr>
              <w:drawing>
                <wp:inline distT="0" distB="0" distL="0" distR="0" wp14:anchorId="2F139013" wp14:editId="3FDB29C0">
                  <wp:extent cx="2028825" cy="2881705"/>
                  <wp:effectExtent l="0" t="0" r="0" b="0"/>
                  <wp:docPr id="12" name="Picture 12"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application, Word&#10;&#10;Description automatically generated"/>
                          <pic:cNvPicPr/>
                        </pic:nvPicPr>
                        <pic:blipFill rotWithShape="1">
                          <a:blip r:embed="rId14"/>
                          <a:srcRect l="37226" t="18912" r="36684" b="8370"/>
                          <a:stretch/>
                        </pic:blipFill>
                        <pic:spPr bwMode="auto">
                          <a:xfrm>
                            <a:off x="0" y="0"/>
                            <a:ext cx="2039609" cy="2897022"/>
                          </a:xfrm>
                          <a:prstGeom prst="rect">
                            <a:avLst/>
                          </a:prstGeom>
                          <a:ln>
                            <a:noFill/>
                          </a:ln>
                          <a:extLst>
                            <a:ext uri="{53640926-AAD7-44D8-BBD7-CCE9431645EC}">
                              <a14:shadowObscured xmlns:a14="http://schemas.microsoft.com/office/drawing/2010/main"/>
                            </a:ext>
                          </a:extLst>
                        </pic:spPr>
                      </pic:pic>
                    </a:graphicData>
                  </a:graphic>
                </wp:inline>
              </w:drawing>
            </w:r>
          </w:p>
        </w:tc>
        <w:tc>
          <w:tcPr>
            <w:tcW w:w="75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EC622A" w14:textId="2B0F9EC7" w:rsidR="002644FE" w:rsidRPr="00B237E8" w:rsidRDefault="00000000" w:rsidP="00F96D40">
            <w:pPr>
              <w:rPr>
                <w:b/>
                <w:bCs/>
                <w:lang w:val="es-ES" w:eastAsia="en-US"/>
              </w:rPr>
            </w:pPr>
            <w:hyperlink r:id="rId15" w:history="1">
              <w:r w:rsidR="002644FE" w:rsidRPr="00B237E8">
                <w:rPr>
                  <w:rStyle w:val="Hyperlink"/>
                  <w:b/>
                  <w:bCs/>
                  <w:lang w:val="es-ES" w:eastAsia="en-US"/>
                </w:rPr>
                <w:t>Manual de Operaciones para lo</w:t>
              </w:r>
              <w:r w:rsidR="002644FE" w:rsidRPr="00B237E8">
                <w:rPr>
                  <w:rStyle w:val="Hyperlink"/>
                  <w:b/>
                  <w:bCs/>
                  <w:lang w:val="es-ES" w:eastAsia="en-US"/>
                </w:rPr>
                <w:t>s Coordinadores de METAREA</w:t>
              </w:r>
            </w:hyperlink>
          </w:p>
          <w:p w14:paraId="6691F974" w14:textId="0AFE55A8" w:rsidR="00B237E8" w:rsidRPr="00CA6B04" w:rsidRDefault="00B237E8" w:rsidP="00B237E8">
            <w:pPr>
              <w:jc w:val="both"/>
              <w:rPr>
                <w:lang w:eastAsia="en-US"/>
              </w:rPr>
            </w:pPr>
            <w:r w:rsidRPr="00B237E8">
              <w:rPr>
                <w:lang w:val="es-ES" w:eastAsia="en-US"/>
              </w:rPr>
              <w:t>E</w:t>
            </w:r>
            <w:r w:rsidRPr="00B237E8">
              <w:rPr>
                <w:lang w:val="es-ES" w:eastAsia="en-US"/>
              </w:rPr>
              <w:t>l Manual recopila las prescripciones y procedimientos de una serie de documentos oficiales que mantienen la Organización Marítima Internacional (OMI), la Organización Meteorológica Mundial (</w:t>
            </w:r>
            <w:proofErr w:type="gramStart"/>
            <w:r w:rsidRPr="00B237E8">
              <w:rPr>
                <w:lang w:val="es-ES" w:eastAsia="en-US"/>
              </w:rPr>
              <w:t>OMM)  y</w:t>
            </w:r>
            <w:proofErr w:type="gramEnd"/>
            <w:r w:rsidRPr="00B237E8">
              <w:rPr>
                <w:lang w:val="es-ES" w:eastAsia="en-US"/>
              </w:rPr>
              <w:t xml:space="preserve">  otros  organismos  relevantes.   </w:t>
            </w:r>
            <w:r w:rsidRPr="00B237E8">
              <w:rPr>
                <w:lang w:val="es-ES" w:eastAsia="en-US"/>
              </w:rPr>
              <w:t xml:space="preserve">El </w:t>
            </w:r>
            <w:proofErr w:type="gramStart"/>
            <w:r w:rsidRPr="00B237E8">
              <w:rPr>
                <w:lang w:val="es-ES" w:eastAsia="en-US"/>
              </w:rPr>
              <w:t>Manual</w:t>
            </w:r>
            <w:r w:rsidRPr="00B237E8">
              <w:rPr>
                <w:lang w:val="es-ES" w:eastAsia="en-US"/>
              </w:rPr>
              <w:t xml:space="preserve">  busca</w:t>
            </w:r>
            <w:proofErr w:type="gramEnd"/>
            <w:r w:rsidRPr="00B237E8">
              <w:rPr>
                <w:lang w:val="es-ES" w:eastAsia="en-US"/>
              </w:rPr>
              <w:t xml:space="preserve">  complementar  los  procedimientos descritos en los documentos oficiales y proporcionar un contexto adicional para ayudar a los Coordinadores de zonas METAREA en el desempeño de sus funciones.</w:t>
            </w:r>
          </w:p>
        </w:tc>
      </w:tr>
      <w:tr w:rsidR="00561A78" w14:paraId="264D1D2B" w14:textId="77777777" w:rsidTr="00F96D40">
        <w:trPr>
          <w:trHeight w:val="2355"/>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FF4C3C" w14:textId="2A966027" w:rsidR="00561A78" w:rsidRDefault="00B237E8" w:rsidP="00F96D40">
            <w:pPr>
              <w:rPr>
                <w:lang w:eastAsia="en-US"/>
              </w:rPr>
            </w:pPr>
            <w:r>
              <w:rPr>
                <w:noProof/>
              </w:rPr>
              <w:lastRenderedPageBreak/>
              <w:drawing>
                <wp:inline distT="0" distB="0" distL="0" distR="0" wp14:anchorId="65F37A07" wp14:editId="7A14D1FF">
                  <wp:extent cx="1962150" cy="2909438"/>
                  <wp:effectExtent l="0" t="0" r="0" b="5715"/>
                  <wp:docPr id="11" name="Picture 1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rotWithShape="1">
                          <a:blip r:embed="rId16"/>
                          <a:srcRect l="42862" t="18283" r="26167"/>
                          <a:stretch/>
                        </pic:blipFill>
                        <pic:spPr bwMode="auto">
                          <a:xfrm>
                            <a:off x="0" y="0"/>
                            <a:ext cx="1964901" cy="2913518"/>
                          </a:xfrm>
                          <a:prstGeom prst="rect">
                            <a:avLst/>
                          </a:prstGeom>
                          <a:ln>
                            <a:noFill/>
                          </a:ln>
                          <a:extLst>
                            <a:ext uri="{53640926-AAD7-44D8-BBD7-CCE9431645EC}">
                              <a14:shadowObscured xmlns:a14="http://schemas.microsoft.com/office/drawing/2010/main"/>
                            </a:ext>
                          </a:extLst>
                        </pic:spPr>
                      </pic:pic>
                    </a:graphicData>
                  </a:graphic>
                </wp:inline>
              </w:drawing>
            </w:r>
          </w:p>
          <w:p w14:paraId="681C6134" w14:textId="77777777" w:rsidR="00561A78" w:rsidRDefault="00561A78" w:rsidP="00F96D40">
            <w:pPr>
              <w:rPr>
                <w:lang w:eastAsia="en-US"/>
              </w:rPr>
            </w:pP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6EE03DFC" w14:textId="115457C6" w:rsidR="00B237E8" w:rsidRPr="002F71A9" w:rsidRDefault="002F71A9" w:rsidP="00B237E8">
            <w:pPr>
              <w:rPr>
                <w:rStyle w:val="Hyperlink"/>
                <w:lang w:val="es-ES" w:eastAsia="en-US"/>
              </w:rPr>
            </w:pPr>
            <w:r>
              <w:rPr>
                <w:b/>
                <w:bCs/>
                <w:lang w:val="es-ES" w:eastAsia="en-US"/>
              </w:rPr>
              <w:fldChar w:fldCharType="begin"/>
            </w:r>
            <w:r>
              <w:rPr>
                <w:b/>
                <w:bCs/>
                <w:lang w:val="es-ES" w:eastAsia="en-US"/>
              </w:rPr>
              <w:instrText xml:space="preserve"> HYPERLINK "https://library.wmo.int/doc_num.php?explnum_id=7747" </w:instrText>
            </w:r>
            <w:r>
              <w:rPr>
                <w:b/>
                <w:bCs/>
                <w:lang w:val="es-ES" w:eastAsia="en-US"/>
              </w:rPr>
            </w:r>
            <w:r>
              <w:rPr>
                <w:b/>
                <w:bCs/>
                <w:lang w:val="es-ES" w:eastAsia="en-US"/>
              </w:rPr>
              <w:fldChar w:fldCharType="separate"/>
            </w:r>
            <w:r w:rsidR="00B237E8" w:rsidRPr="002F71A9">
              <w:rPr>
                <w:rStyle w:val="Hyperlink"/>
                <w:b/>
                <w:bCs/>
                <w:lang w:val="es-ES" w:eastAsia="en-US"/>
              </w:rPr>
              <w:t>Guía de</w:t>
            </w:r>
            <w:r w:rsidR="00B237E8" w:rsidRPr="002F71A9">
              <w:rPr>
                <w:rStyle w:val="Hyperlink"/>
                <w:b/>
                <w:bCs/>
                <w:lang w:val="es-ES" w:eastAsia="en-US"/>
              </w:rPr>
              <w:t xml:space="preserve"> </w:t>
            </w:r>
            <w:r w:rsidR="00B237E8" w:rsidRPr="002F71A9">
              <w:rPr>
                <w:rStyle w:val="Hyperlink"/>
                <w:b/>
                <w:bCs/>
                <w:lang w:val="es-ES" w:eastAsia="en-US"/>
              </w:rPr>
              <w:t xml:space="preserve">Previsión de </w:t>
            </w:r>
            <w:r w:rsidR="00B237E8" w:rsidRPr="002F71A9">
              <w:rPr>
                <w:rStyle w:val="Hyperlink"/>
                <w:b/>
                <w:bCs/>
                <w:lang w:val="es-ES" w:eastAsia="en-US"/>
              </w:rPr>
              <w:t>M</w:t>
            </w:r>
            <w:r w:rsidR="00B237E8" w:rsidRPr="002F71A9">
              <w:rPr>
                <w:rStyle w:val="Hyperlink"/>
                <w:b/>
                <w:bCs/>
                <w:lang w:val="es-ES" w:eastAsia="en-US"/>
              </w:rPr>
              <w:t xml:space="preserve">areas de </w:t>
            </w:r>
            <w:r w:rsidR="00B237E8" w:rsidRPr="002F71A9">
              <w:rPr>
                <w:rStyle w:val="Hyperlink"/>
                <w:b/>
                <w:bCs/>
                <w:lang w:val="es-ES" w:eastAsia="en-US"/>
              </w:rPr>
              <w:t>T</w:t>
            </w:r>
            <w:r w:rsidR="00B237E8" w:rsidRPr="002F71A9">
              <w:rPr>
                <w:rStyle w:val="Hyperlink"/>
                <w:b/>
                <w:bCs/>
                <w:lang w:val="es-ES" w:eastAsia="en-US"/>
              </w:rPr>
              <w:t>empestad</w:t>
            </w:r>
            <w:r w:rsidR="00B237E8" w:rsidRPr="002F71A9">
              <w:rPr>
                <w:rStyle w:val="Hyperlink"/>
                <w:b/>
                <w:bCs/>
                <w:lang w:val="es-ES" w:eastAsia="en-US"/>
              </w:rPr>
              <w:t xml:space="preserve"> (</w:t>
            </w:r>
            <w:r w:rsidR="00B237E8" w:rsidRPr="002F71A9">
              <w:rPr>
                <w:rStyle w:val="Hyperlink"/>
                <w:b/>
                <w:bCs/>
              </w:rPr>
              <w:t>WMO-No. 1076</w:t>
            </w:r>
            <w:r w:rsidR="00B237E8" w:rsidRPr="002F71A9">
              <w:rPr>
                <w:rStyle w:val="Hyperlink"/>
                <w:b/>
                <w:bCs/>
                <w:lang w:val="es-ES"/>
              </w:rPr>
              <w:t>),</w:t>
            </w:r>
            <w:r w:rsidR="00B237E8" w:rsidRPr="002F71A9">
              <w:rPr>
                <w:rStyle w:val="Hyperlink"/>
                <w:lang w:val="es-ES"/>
              </w:rPr>
              <w:t xml:space="preserve"> </w:t>
            </w:r>
            <w:r w:rsidR="00B237E8" w:rsidRPr="002F71A9">
              <w:rPr>
                <w:rStyle w:val="Hyperlink"/>
                <w:b/>
                <w:bCs/>
                <w:lang w:val="es-ES"/>
              </w:rPr>
              <w:t xml:space="preserve">(versión en </w:t>
            </w:r>
            <w:r w:rsidRPr="002F71A9">
              <w:rPr>
                <w:rStyle w:val="Hyperlink"/>
                <w:b/>
                <w:bCs/>
                <w:lang w:val="es-ES"/>
              </w:rPr>
              <w:t>inglés</w:t>
            </w:r>
            <w:r w:rsidR="00B237E8" w:rsidRPr="002F71A9">
              <w:rPr>
                <w:rStyle w:val="Hyperlink"/>
                <w:b/>
                <w:bCs/>
                <w:lang w:val="es-ES"/>
              </w:rPr>
              <w:t>)</w:t>
            </w:r>
          </w:p>
          <w:p w14:paraId="4654194F" w14:textId="1FCD6EC6" w:rsidR="00B237E8" w:rsidRPr="00B237E8" w:rsidRDefault="002F71A9" w:rsidP="00B237E8">
            <w:pPr>
              <w:rPr>
                <w:lang w:val="es-ES" w:eastAsia="en-US"/>
              </w:rPr>
            </w:pPr>
            <w:r>
              <w:rPr>
                <w:b/>
                <w:bCs/>
                <w:lang w:val="es-ES" w:eastAsia="en-US"/>
              </w:rPr>
              <w:fldChar w:fldCharType="end"/>
            </w:r>
            <w:r w:rsidR="00B237E8" w:rsidRPr="00B237E8">
              <w:rPr>
                <w:lang w:val="es-ES" w:eastAsia="en-US"/>
              </w:rPr>
              <w:t>Los Servicios Meteorológicos e Hidrológicos Nacionales (SMN) de un número cada vez mayor de países marítimos participan activamente en la prestación de servicios de previsión de mareas de tempestad para una amplia gama de actividades marítimas y costeras, en particular para la defensa costera, la navegación, la pesca, la minería en alta mar, el comercio, la ingeniería costera, la construcción y el ocio. Esta guía llama la atención sobre las vulnerabilidades de las zonas costeras expuestas a las mareas de tempestad, centrándose en la previsión de riesgos, además de la previsión de peligros.</w:t>
            </w:r>
          </w:p>
          <w:p w14:paraId="235BC803" w14:textId="77777777" w:rsidR="00B237E8" w:rsidRDefault="00B237E8" w:rsidP="00B237E8">
            <w:pPr>
              <w:rPr>
                <w:lang w:eastAsia="en-US"/>
              </w:rPr>
            </w:pPr>
          </w:p>
          <w:p w14:paraId="4781C077" w14:textId="77777777" w:rsidR="00561A78" w:rsidRDefault="00561A78" w:rsidP="00F96D40">
            <w:pPr>
              <w:rPr>
                <w:lang w:val="es-ES" w:eastAsia="en-US"/>
              </w:rPr>
            </w:pPr>
          </w:p>
          <w:p w14:paraId="0E246BED" w14:textId="1D4DAA0F" w:rsidR="00C817FA" w:rsidRPr="00561A78" w:rsidRDefault="00C817FA" w:rsidP="00F96D40">
            <w:pPr>
              <w:rPr>
                <w:lang w:val="es-ES" w:eastAsia="en-US"/>
              </w:rPr>
            </w:pPr>
          </w:p>
        </w:tc>
      </w:tr>
      <w:tr w:rsidR="00561A78" w14:paraId="67EF678F" w14:textId="77777777" w:rsidTr="00F96D40">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64CBB1" w14:textId="7B950BEE" w:rsidR="00561A78" w:rsidRDefault="00561A78" w:rsidP="00F96D40">
            <w:pPr>
              <w:rPr>
                <w:lang w:eastAsia="en-US"/>
              </w:rPr>
            </w:pPr>
          </w:p>
        </w:tc>
        <w:tc>
          <w:tcPr>
            <w:tcW w:w="7513" w:type="dxa"/>
            <w:tcBorders>
              <w:top w:val="nil"/>
              <w:left w:val="nil"/>
              <w:bottom w:val="single" w:sz="8" w:space="0" w:color="auto"/>
              <w:right w:val="single" w:sz="8" w:space="0" w:color="auto"/>
            </w:tcBorders>
            <w:tcMar>
              <w:top w:w="0" w:type="dxa"/>
              <w:left w:w="108" w:type="dxa"/>
              <w:bottom w:w="0" w:type="dxa"/>
              <w:right w:w="108" w:type="dxa"/>
            </w:tcMar>
          </w:tcPr>
          <w:p w14:paraId="316D471F" w14:textId="77777777" w:rsidR="00561A78" w:rsidRDefault="00561A78" w:rsidP="00F96D40">
            <w:pPr>
              <w:rPr>
                <w:lang w:val="es-ES" w:eastAsia="en-US"/>
              </w:rPr>
            </w:pPr>
          </w:p>
          <w:p w14:paraId="62516728" w14:textId="57C165DA" w:rsidR="00C817FA" w:rsidRPr="00561A78" w:rsidRDefault="00C817FA" w:rsidP="00F96D40">
            <w:pPr>
              <w:rPr>
                <w:lang w:val="es-ES" w:eastAsia="en-US"/>
              </w:rPr>
            </w:pPr>
          </w:p>
        </w:tc>
      </w:tr>
      <w:tr w:rsidR="00561A78" w14:paraId="257516DE" w14:textId="77777777" w:rsidTr="00F96D40">
        <w:trPr>
          <w:trHeight w:val="2323"/>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64C6B8" w14:textId="1FF7AF23" w:rsidR="00561A78" w:rsidRDefault="00561A78" w:rsidP="00F96D40">
            <w:pPr>
              <w:rPr>
                <w:lang w:eastAsia="en-US"/>
              </w:rPr>
            </w:pPr>
          </w:p>
          <w:p w14:paraId="43285EA7" w14:textId="4ED309B0" w:rsidR="00561A78" w:rsidRDefault="002F71A9" w:rsidP="00F96D40">
            <w:pPr>
              <w:rPr>
                <w:lang w:eastAsia="en-US"/>
              </w:rPr>
            </w:pPr>
            <w:r>
              <w:rPr>
                <w:noProof/>
              </w:rPr>
              <w:drawing>
                <wp:inline distT="0" distB="0" distL="0" distR="0" wp14:anchorId="11277E1B" wp14:editId="331D8B21">
                  <wp:extent cx="1990725" cy="2816225"/>
                  <wp:effectExtent l="0" t="0" r="9525" b="3175"/>
                  <wp:docPr id="13" name="Picture 13" descr="Graphical user interface, application, PowerPo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application, PowerPoint&#10;&#10;Description automatically generated"/>
                          <pic:cNvPicPr/>
                        </pic:nvPicPr>
                        <pic:blipFill rotWithShape="1">
                          <a:blip r:embed="rId17"/>
                          <a:srcRect l="31409" t="15201" r="33858"/>
                          <a:stretch/>
                        </pic:blipFill>
                        <pic:spPr bwMode="auto">
                          <a:xfrm>
                            <a:off x="0" y="0"/>
                            <a:ext cx="1990725" cy="2816225"/>
                          </a:xfrm>
                          <a:prstGeom prst="rect">
                            <a:avLst/>
                          </a:prstGeom>
                          <a:ln>
                            <a:noFill/>
                          </a:ln>
                          <a:extLst>
                            <a:ext uri="{53640926-AAD7-44D8-BBD7-CCE9431645EC}">
                              <a14:shadowObscured xmlns:a14="http://schemas.microsoft.com/office/drawing/2010/main"/>
                            </a:ext>
                          </a:extLst>
                        </pic:spPr>
                      </pic:pic>
                    </a:graphicData>
                  </a:graphic>
                </wp:inline>
              </w:drawing>
            </w:r>
          </w:p>
        </w:tc>
        <w:tc>
          <w:tcPr>
            <w:tcW w:w="7513" w:type="dxa"/>
            <w:tcBorders>
              <w:top w:val="nil"/>
              <w:left w:val="nil"/>
              <w:bottom w:val="single" w:sz="8" w:space="0" w:color="auto"/>
              <w:right w:val="single" w:sz="8" w:space="0" w:color="auto"/>
            </w:tcBorders>
            <w:tcMar>
              <w:top w:w="0" w:type="dxa"/>
              <w:left w:w="108" w:type="dxa"/>
              <w:bottom w:w="0" w:type="dxa"/>
              <w:right w:w="108" w:type="dxa"/>
            </w:tcMar>
          </w:tcPr>
          <w:p w14:paraId="439BDF7B" w14:textId="0220433E" w:rsidR="00561A78" w:rsidRPr="002F71A9" w:rsidRDefault="002F71A9" w:rsidP="00F96D40">
            <w:pPr>
              <w:rPr>
                <w:b/>
                <w:bCs/>
                <w:lang w:val="es-ES" w:eastAsia="en-US"/>
              </w:rPr>
            </w:pPr>
            <w:hyperlink r:id="rId18" w:history="1">
              <w:r w:rsidRPr="002F71A9">
                <w:rPr>
                  <w:rStyle w:val="Hyperlink"/>
                  <w:b/>
                  <w:bCs/>
                  <w:lang w:val="es-ES" w:eastAsia="en-US"/>
                </w:rPr>
                <w:t>I</w:t>
              </w:r>
              <w:r w:rsidRPr="002F71A9">
                <w:rPr>
                  <w:rStyle w:val="Hyperlink"/>
                  <w:b/>
                  <w:bCs/>
                  <w:lang w:val="es-ES" w:eastAsia="en-US"/>
                </w:rPr>
                <w:t xml:space="preserve">nformación y </w:t>
              </w:r>
              <w:r w:rsidRPr="002F71A9">
                <w:rPr>
                  <w:rStyle w:val="Hyperlink"/>
                  <w:b/>
                  <w:bCs/>
                  <w:lang w:val="es-ES" w:eastAsia="en-US"/>
                </w:rPr>
                <w:t>S</w:t>
              </w:r>
              <w:r w:rsidRPr="002F71A9">
                <w:rPr>
                  <w:rStyle w:val="Hyperlink"/>
                  <w:b/>
                  <w:bCs/>
                  <w:lang w:val="es-ES" w:eastAsia="en-US"/>
                </w:rPr>
                <w:t xml:space="preserve">ervicios sobre el </w:t>
              </w:r>
              <w:r w:rsidRPr="002F71A9">
                <w:rPr>
                  <w:rStyle w:val="Hyperlink"/>
                  <w:b/>
                  <w:bCs/>
                  <w:lang w:val="es-ES" w:eastAsia="en-US"/>
                </w:rPr>
                <w:t>H</w:t>
              </w:r>
              <w:r w:rsidRPr="002F71A9">
                <w:rPr>
                  <w:rStyle w:val="Hyperlink"/>
                  <w:b/>
                  <w:bCs/>
                  <w:lang w:val="es-ES" w:eastAsia="en-US"/>
                </w:rPr>
                <w:t xml:space="preserve">ielo </w:t>
              </w:r>
              <w:r w:rsidRPr="002F71A9">
                <w:rPr>
                  <w:rStyle w:val="Hyperlink"/>
                  <w:b/>
                  <w:bCs/>
                  <w:lang w:val="es-ES" w:eastAsia="en-US"/>
                </w:rPr>
                <w:t>M</w:t>
              </w:r>
              <w:r w:rsidRPr="002F71A9">
                <w:rPr>
                  <w:rStyle w:val="Hyperlink"/>
                  <w:b/>
                  <w:bCs/>
                  <w:lang w:val="es-ES" w:eastAsia="en-US"/>
                </w:rPr>
                <w:t>arino</w:t>
              </w:r>
              <w:r w:rsidRPr="002F71A9">
                <w:rPr>
                  <w:rStyle w:val="Hyperlink"/>
                  <w:b/>
                  <w:bCs/>
                  <w:lang w:val="es-ES" w:eastAsia="en-US"/>
                </w:rPr>
                <w:t xml:space="preserve"> (</w:t>
              </w:r>
              <w:r w:rsidRPr="002F71A9">
                <w:rPr>
                  <w:rStyle w:val="Hyperlink"/>
                  <w:b/>
                  <w:bCs/>
                </w:rPr>
                <w:t>WMO-No. 574</w:t>
              </w:r>
              <w:r w:rsidRPr="002F71A9">
                <w:rPr>
                  <w:rStyle w:val="Hyperlink"/>
                  <w:b/>
                  <w:bCs/>
                  <w:lang w:val="es-ES"/>
                </w:rPr>
                <w:t>), (</w:t>
              </w:r>
              <w:r w:rsidRPr="002F71A9">
                <w:rPr>
                  <w:rStyle w:val="Hyperlink"/>
                  <w:b/>
                  <w:bCs/>
                  <w:lang w:val="es-ES"/>
                </w:rPr>
                <w:t>versión en inglés)</w:t>
              </w:r>
            </w:hyperlink>
          </w:p>
          <w:p w14:paraId="0C70921A" w14:textId="77777777" w:rsidR="002F71A9" w:rsidRPr="002F71A9" w:rsidRDefault="002F71A9" w:rsidP="002F71A9">
            <w:pPr>
              <w:jc w:val="both"/>
              <w:rPr>
                <w:b/>
                <w:bCs/>
                <w:lang w:val="es-ES" w:eastAsia="en-US"/>
              </w:rPr>
            </w:pPr>
            <w:r w:rsidRPr="002F71A9">
              <w:rPr>
                <w:lang w:val="es-ES" w:eastAsia="en-US"/>
              </w:rPr>
              <w:t>Este documento contiene un resumen de la historia de los servicios de información sobre el hielo marino, así como una descripción de los distintos tipos de hielo marino, los métodos de observación del hielo que se utilizan actualmente y los tipos de servicios de información sobre el hielo que se prestan actualmente. Los servicios de información sobre el hielo marino de 17 países según la región, incluida la información sobre la organización, la adquisición de datos, los productos y las previsiones, las publicaciones y los datos de contacto, estarán disponibles en breve en el sitio web de la comunidad de la OMM</w:t>
            </w:r>
            <w:r w:rsidRPr="002F71A9">
              <w:rPr>
                <w:b/>
                <w:bCs/>
                <w:lang w:val="es-ES" w:eastAsia="en-US"/>
              </w:rPr>
              <w:t>.</w:t>
            </w:r>
          </w:p>
          <w:p w14:paraId="55A1B474" w14:textId="77777777" w:rsidR="002F71A9" w:rsidRPr="002F71A9" w:rsidRDefault="002F71A9" w:rsidP="002F71A9">
            <w:pPr>
              <w:jc w:val="both"/>
              <w:rPr>
                <w:b/>
                <w:bCs/>
                <w:lang w:val="es-ES" w:eastAsia="en-US"/>
              </w:rPr>
            </w:pPr>
          </w:p>
          <w:p w14:paraId="4DD953EA" w14:textId="5D767E96" w:rsidR="00561A78" w:rsidRPr="00561A78" w:rsidRDefault="00561A78" w:rsidP="002F71A9">
            <w:pPr>
              <w:jc w:val="both"/>
              <w:rPr>
                <w:b/>
                <w:bCs/>
                <w:lang w:val="es-ES" w:eastAsia="en-US"/>
              </w:rPr>
            </w:pPr>
          </w:p>
        </w:tc>
      </w:tr>
    </w:tbl>
    <w:p w14:paraId="241EFCDA" w14:textId="4DEBF692" w:rsidR="005C6C9D" w:rsidRDefault="00000000"/>
    <w:p w14:paraId="705F2949" w14:textId="0DBFC517" w:rsidR="002644FE" w:rsidRDefault="002644FE"/>
    <w:p w14:paraId="10F8C8AB" w14:textId="2C05FF7D" w:rsidR="002644FE" w:rsidRDefault="002644FE"/>
    <w:p w14:paraId="6AEA497F" w14:textId="75830767" w:rsidR="00A22CF7" w:rsidRDefault="00A22CF7" w:rsidP="00A22CF7">
      <w:pPr>
        <w:rPr>
          <w:rFonts w:asciiTheme="minorHAnsi" w:hAnsiTheme="minorHAnsi" w:cstheme="minorBidi"/>
          <w:lang w:val="es-ES"/>
        </w:rPr>
      </w:pPr>
      <w:r w:rsidRPr="00A22CF7">
        <w:rPr>
          <w:rFonts w:asciiTheme="minorHAnsi" w:hAnsiTheme="minorHAnsi" w:cstheme="minorBidi"/>
          <w:lang w:val="es-ES"/>
        </w:rPr>
        <w:t>En adición, podemos compartir l</w:t>
      </w:r>
      <w:r>
        <w:rPr>
          <w:rFonts w:asciiTheme="minorHAnsi" w:hAnsiTheme="minorHAnsi" w:cstheme="minorBidi"/>
          <w:lang w:val="es-ES"/>
        </w:rPr>
        <w:t>os siguientes links:</w:t>
      </w:r>
    </w:p>
    <w:p w14:paraId="3EBFEF75" w14:textId="64522ADA" w:rsidR="00A22CF7" w:rsidRDefault="00A22CF7" w:rsidP="00A22CF7">
      <w:pPr>
        <w:rPr>
          <w:rFonts w:asciiTheme="minorHAnsi" w:hAnsiTheme="minorHAnsi" w:cstheme="minorBidi"/>
          <w:lang w:val="es-ES"/>
        </w:rPr>
      </w:pPr>
    </w:p>
    <w:p w14:paraId="11F27BE3" w14:textId="7A39DC5E" w:rsidR="00A22CF7" w:rsidRPr="00A22CF7" w:rsidRDefault="00A22CF7" w:rsidP="00A22CF7">
      <w:pPr>
        <w:rPr>
          <w:rFonts w:asciiTheme="minorHAnsi" w:hAnsiTheme="minorHAnsi" w:cstheme="minorBidi"/>
          <w:lang w:val="es-ES"/>
        </w:rPr>
      </w:pPr>
      <w:hyperlink r:id="rId19" w:history="1">
        <w:r w:rsidRPr="00A22CF7">
          <w:rPr>
            <w:rStyle w:val="Hyperlink"/>
            <w:rFonts w:asciiTheme="minorHAnsi" w:hAnsiTheme="minorHAnsi" w:cstheme="minorBidi"/>
            <w:lang w:val="es-ES"/>
          </w:rPr>
          <w:t>Programa de Meteorología Marina y Oceanografía (MMOP)</w:t>
        </w:r>
      </w:hyperlink>
    </w:p>
    <w:p w14:paraId="25EF60FE" w14:textId="77777777" w:rsidR="00A22CF7" w:rsidRPr="00A22CF7" w:rsidRDefault="00A22CF7" w:rsidP="00A22CF7">
      <w:pPr>
        <w:rPr>
          <w:rFonts w:asciiTheme="minorHAnsi" w:hAnsiTheme="minorHAnsi" w:cstheme="minorBidi"/>
          <w:lang w:val="es-ES"/>
        </w:rPr>
      </w:pPr>
    </w:p>
    <w:p w14:paraId="7D27273D" w14:textId="2E4D4DD8" w:rsidR="00A22CF7" w:rsidRPr="00A22CF7" w:rsidRDefault="00A22CF7">
      <w:pPr>
        <w:rPr>
          <w:lang w:val="es-ES"/>
        </w:rPr>
      </w:pPr>
      <w:hyperlink r:id="rId20" w:history="1">
        <w:r w:rsidRPr="00A22CF7">
          <w:rPr>
            <w:rStyle w:val="Hyperlink"/>
            <w:lang w:val="es-ES"/>
          </w:rPr>
          <w:t xml:space="preserve">Actividades </w:t>
        </w:r>
        <w:r w:rsidRPr="00A22CF7">
          <w:rPr>
            <w:rStyle w:val="Hyperlink"/>
            <w:lang w:val="es-ES"/>
          </w:rPr>
          <w:t>de servicios marinos</w:t>
        </w:r>
        <w:r w:rsidRPr="00A22CF7">
          <w:rPr>
            <w:rStyle w:val="Hyperlink"/>
            <w:lang w:val="es-ES"/>
          </w:rPr>
          <w:t xml:space="preserve"> la Asociación Regional III</w:t>
        </w:r>
      </w:hyperlink>
      <w:r>
        <w:rPr>
          <w:lang w:val="es-ES"/>
        </w:rPr>
        <w:t xml:space="preserve"> </w:t>
      </w:r>
      <w:r w:rsidR="002F71A9">
        <w:rPr>
          <w:lang w:val="es-ES"/>
        </w:rPr>
        <w:t>(documentos</w:t>
      </w:r>
      <w:r>
        <w:rPr>
          <w:lang w:val="es-ES"/>
        </w:rPr>
        <w:t xml:space="preserve"> disponibles en inglés y español)</w:t>
      </w:r>
    </w:p>
    <w:p w14:paraId="30861887" w14:textId="2AC0524E" w:rsidR="00A22CF7" w:rsidRDefault="00A22CF7"/>
    <w:p w14:paraId="2F223755" w14:textId="4EB17CD0" w:rsidR="002F71A9" w:rsidRDefault="002F71A9"/>
    <w:p w14:paraId="0A0E159A" w14:textId="49153D07" w:rsidR="002F71A9" w:rsidRDefault="002F71A9"/>
    <w:p w14:paraId="5B6EC259" w14:textId="48BB27BC" w:rsidR="00A22CF7" w:rsidRPr="00561A78" w:rsidRDefault="00A22CF7"/>
    <w:sectPr w:rsidR="00A22CF7" w:rsidRPr="00561A78" w:rsidSect="009F699D">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A78"/>
    <w:rsid w:val="002644FE"/>
    <w:rsid w:val="00283392"/>
    <w:rsid w:val="002F71A9"/>
    <w:rsid w:val="004637FA"/>
    <w:rsid w:val="004B1F7B"/>
    <w:rsid w:val="00561A78"/>
    <w:rsid w:val="006D5CF8"/>
    <w:rsid w:val="0092435F"/>
    <w:rsid w:val="009F699D"/>
    <w:rsid w:val="00A22CF7"/>
    <w:rsid w:val="00B237E8"/>
    <w:rsid w:val="00C817FA"/>
    <w:rsid w:val="00CA6B04"/>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F6249"/>
  <w15:chartTrackingRefBased/>
  <w15:docId w15:val="{B7A732C0-A863-495C-97D9-4214B7F6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78"/>
    <w:pPr>
      <w:spacing w:after="0" w:line="240" w:lineRule="auto"/>
    </w:pPr>
    <w:rPr>
      <w:rFonts w:ascii="Calibri" w:hAnsi="Calibri" w:cs="Calibri"/>
      <w:lang w:eastAsia="en-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1A78"/>
    <w:rPr>
      <w:color w:val="0000FF"/>
      <w:u w:val="single"/>
    </w:rPr>
  </w:style>
  <w:style w:type="character" w:styleId="SmartLink">
    <w:name w:val="Smart Link"/>
    <w:basedOn w:val="DefaultParagraphFont"/>
    <w:uiPriority w:val="99"/>
    <w:semiHidden/>
    <w:unhideWhenUsed/>
    <w:rsid w:val="00561A78"/>
    <w:rPr>
      <w:color w:val="0000FF"/>
      <w:u w:val="single"/>
      <w:shd w:val="clear" w:color="auto" w:fill="F3F2F1"/>
    </w:rPr>
  </w:style>
  <w:style w:type="character" w:styleId="FollowedHyperlink">
    <w:name w:val="FollowedHyperlink"/>
    <w:basedOn w:val="DefaultParagraphFont"/>
    <w:uiPriority w:val="99"/>
    <w:semiHidden/>
    <w:unhideWhenUsed/>
    <w:rsid w:val="00561A78"/>
    <w:rPr>
      <w:color w:val="954F72" w:themeColor="followedHyperlink"/>
      <w:u w:val="single"/>
    </w:rPr>
  </w:style>
  <w:style w:type="character" w:styleId="UnresolvedMention">
    <w:name w:val="Unresolved Mention"/>
    <w:basedOn w:val="DefaultParagraphFont"/>
    <w:uiPriority w:val="99"/>
    <w:semiHidden/>
    <w:unhideWhenUsed/>
    <w:rsid w:val="00264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27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wmo.int/doc_num.php?explnum_id=10981" TargetMode="External"/><Relationship Id="rId13" Type="http://schemas.openxmlformats.org/officeDocument/2006/relationships/hyperlink" Target="https://wmoomm.sharepoint.com/sites/wmocpdb/eve_activityarea/Forms/AllItems.aspx?id=%2Fsites%2Fwmocpdb%2Feve%5Factivityarea%2FMarine%20Meteorology%20and%20Oceanography%20Programme%20%28MMOP%29%5F6b452102%2D7575%2De911%2Da98e%2D000d3a44bd9c%2FPublications%2FWMO%20No%2E%209%20Vol%20D%2FWMO%5F9%5FVol%20D%5F10Dec2021%2Epdf&amp;parent=%2Fsites%2Fwmocpdb%2Feve%5Factivityarea%2FMarine%20Meteorology%20and%20Oceanography%20Programme%20%28MMOP%29%5F6b452102%2D7575%2De911%2Da98e%2D000d3a44bd9c%2FPublications%2FWMO%20No%2E%209%20Vol%20D&amp;p=true&amp;ga=1" TargetMode="External"/><Relationship Id="rId18" Type="http://schemas.openxmlformats.org/officeDocument/2006/relationships/hyperlink" Target="https://library.wmo.int/doc_num.php?explnum_id=10763"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hyperlink" Target="https://community.wmo.int/activity-areas/Ocean/RAIII" TargetMode="External"/><Relationship Id="rId1" Type="http://schemas.openxmlformats.org/officeDocument/2006/relationships/styles" Target="styles.xml"/><Relationship Id="rId6" Type="http://schemas.openxmlformats.org/officeDocument/2006/relationships/hyperlink" Target="https://library.wmo.int/doc_num.php?explnum_id=5538" TargetMode="External"/><Relationship Id="rId11" Type="http://schemas.openxmlformats.org/officeDocument/2006/relationships/hyperlink" Target="https://community.wmo.int/activity-areas/Marine/Pubs/WMO702DynamicPart" TargetMode="External"/><Relationship Id="rId5" Type="http://schemas.openxmlformats.org/officeDocument/2006/relationships/image" Target="media/image1.png"/><Relationship Id="rId15" Type="http://schemas.openxmlformats.org/officeDocument/2006/relationships/hyperlink" Target="https://wmoomm.sharepoint.com/sites/wmocpdb/eve_activityarea/Forms/AllItems.aspx?id=%2Fsites%2Fwmocpdb%2Feve%5Factivityarea%2FMarine%20Meteorology%20and%20Oceanography%20Programme%20%28MMOP%29%5F6b452102%2D7575%2De911%2Da98e%2D000d3a44bd9c%2FPublications%2FJCOMM%2DTR%2D98%2DOperations%5Fhandbook%5Ffor%5FMETAREA%5FCoordinators%5F2019%5FES%2Epdf&amp;parent=%2Fsites%2Fwmocpdb%2Feve%5Factivityarea%2FMarine%20Meteorology%20and%20Oceanography%20Programme%20%28MMOP%29%5F6b452102%2D7575%2De911%2Da98e%2D000d3a44bd9c%2FPublications&amp;p=true&amp;ga=1" TargetMode="External"/><Relationship Id="rId10" Type="http://schemas.openxmlformats.org/officeDocument/2006/relationships/hyperlink" Target="https://library.wmo.int/doc_num.php?explnum_id=10981" TargetMode="External"/><Relationship Id="rId19" Type="http://schemas.openxmlformats.org/officeDocument/2006/relationships/hyperlink" Target="https://community.wmo.int/activity-areas/Marine/meetings/AG-WWMIWS-SubC-1" TargetMode="External"/><Relationship Id="rId4" Type="http://schemas.openxmlformats.org/officeDocument/2006/relationships/hyperlink" Target="https://community.wmo.int/activity-areas/Marine/Pubs" TargetMode="Externa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4144</TotalTime>
  <Pages>3</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Sheilla Baldeon</dc:creator>
  <cp:keywords/>
  <dc:description/>
  <cp:lastModifiedBy>Sheilla Baldeon</cp:lastModifiedBy>
  <cp:revision>3</cp:revision>
  <dcterms:created xsi:type="dcterms:W3CDTF">2022-10-27T14:24:00Z</dcterms:created>
  <dcterms:modified xsi:type="dcterms:W3CDTF">2022-10-31T10:40:00Z</dcterms:modified>
</cp:coreProperties>
</file>